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0ED869" w14:textId="72DDB5BB" w:rsidR="00043606" w:rsidRPr="00043606" w:rsidRDefault="00043606" w:rsidP="00043606">
      <w:pPr>
        <w:jc w:val="center"/>
        <w:rPr>
          <w:rFonts w:ascii="Times New Roman" w:hAnsi="Times New Roman" w:cs="Times New Roman"/>
          <w:b/>
          <w:bCs/>
        </w:rPr>
      </w:pPr>
      <w:r w:rsidRPr="00043606">
        <w:rPr>
          <w:rFonts w:ascii="Times New Roman" w:hAnsi="Times New Roman" w:cs="Times New Roman"/>
          <w:b/>
          <w:bCs/>
        </w:rPr>
        <w:t>Abstract Template</w:t>
      </w:r>
    </w:p>
    <w:p w14:paraId="5D0C4DF9" w14:textId="77777777" w:rsidR="00043606" w:rsidRPr="00AC7AC2" w:rsidRDefault="00043606" w:rsidP="00043606">
      <w:pPr>
        <w:pStyle w:val="NormalWeb"/>
        <w:rPr>
          <w:b/>
          <w:bCs/>
        </w:rPr>
      </w:pPr>
      <w:r w:rsidRPr="00AC7AC2">
        <w:rPr>
          <w:b/>
          <w:bCs/>
        </w:rPr>
        <w:t>Title 12 Font Times New Roam bold</w:t>
      </w:r>
    </w:p>
    <w:p w14:paraId="3C1830DC" w14:textId="77777777" w:rsidR="00043606" w:rsidRPr="00AC7AC2" w:rsidRDefault="00043606" w:rsidP="00043606">
      <w:pPr>
        <w:pStyle w:val="NormalWeb"/>
        <w:rPr>
          <w:color w:val="000000" w:themeColor="text1"/>
          <w:vertAlign w:val="superscript"/>
        </w:rPr>
      </w:pPr>
      <w:r w:rsidRPr="00AC7AC2">
        <w:rPr>
          <w:color w:val="000000" w:themeColor="text1"/>
        </w:rPr>
        <w:t xml:space="preserve">Name of authors, Underline the name of Presenting Author- </w:t>
      </w:r>
      <w:r w:rsidRPr="00AC7AC2">
        <w:t>12 Font Times New Roam normal</w:t>
      </w:r>
    </w:p>
    <w:p w14:paraId="071734E1" w14:textId="77777777" w:rsidR="00043606" w:rsidRPr="00AC7AC2" w:rsidRDefault="00043606" w:rsidP="00043606">
      <w:pPr>
        <w:pStyle w:val="NoSpacing"/>
        <w:rPr>
          <w:rFonts w:ascii="Times New Roman" w:hAnsi="Times New Roman" w:cs="Times New Roman"/>
          <w:iCs/>
          <w:szCs w:val="22"/>
        </w:rPr>
      </w:pPr>
      <w:r w:rsidRPr="00AC7AC2">
        <w:rPr>
          <w:rFonts w:ascii="Times New Roman" w:hAnsi="Times New Roman" w:cs="Times New Roman"/>
          <w:iCs/>
          <w:szCs w:val="22"/>
        </w:rPr>
        <w:t>Affiliation – give names of department and institution, city, country, Email of presenting author -</w:t>
      </w:r>
      <w:r w:rsidRPr="00AC7AC2">
        <w:rPr>
          <w:rFonts w:ascii="Times New Roman" w:hAnsi="Times New Roman" w:cs="Times New Roman"/>
          <w:bCs/>
          <w:szCs w:val="22"/>
        </w:rPr>
        <w:t>11 Font Time New Roman font</w:t>
      </w:r>
    </w:p>
    <w:p w14:paraId="20543DC2" w14:textId="77777777" w:rsidR="00043606" w:rsidRPr="00AC7AC2" w:rsidRDefault="00043606" w:rsidP="00043606">
      <w:pPr>
        <w:pStyle w:val="NormalWeb"/>
        <w:rPr>
          <w:b/>
          <w:sz w:val="22"/>
          <w:szCs w:val="22"/>
        </w:rPr>
      </w:pPr>
      <w:r w:rsidRPr="00AC7AC2">
        <w:rPr>
          <w:b/>
          <w:sz w:val="22"/>
          <w:szCs w:val="22"/>
        </w:rPr>
        <w:t>Abstract (</w:t>
      </w:r>
      <w:r w:rsidRPr="00AC7AC2">
        <w:rPr>
          <w:bCs/>
          <w:sz w:val="22"/>
          <w:szCs w:val="22"/>
        </w:rPr>
        <w:t>maximum 250 words, 11 Font Time New Roman font</w:t>
      </w:r>
      <w:r w:rsidRPr="00AC7AC2">
        <w:rPr>
          <w:b/>
          <w:sz w:val="22"/>
          <w:szCs w:val="22"/>
        </w:rPr>
        <w:t>)</w:t>
      </w:r>
    </w:p>
    <w:p w14:paraId="32B32CFF" w14:textId="77777777" w:rsidR="00043606" w:rsidRPr="0045441F" w:rsidRDefault="00043606" w:rsidP="00043606">
      <w:pPr>
        <w:jc w:val="both"/>
        <w:rPr>
          <w:rFonts w:ascii="Times New Roman" w:hAnsi="Times New Roman" w:cs="Times New Roman"/>
          <w:sz w:val="22"/>
          <w:szCs w:val="22"/>
        </w:rPr>
      </w:pPr>
      <w:r w:rsidRPr="0045441F">
        <w:rPr>
          <w:rFonts w:ascii="Times New Roman" w:hAnsi="Times New Roman" w:cs="Times New Roman"/>
          <w:sz w:val="22"/>
          <w:szCs w:val="22"/>
        </w:rPr>
        <w:t xml:space="preserve">The concepts of Waste-to-Wealth and Waste-to-Energy have gained significant momentum in recent years. These approaches present a dual advantage: they provide sustainable methods for the management and disposal of solid </w:t>
      </w:r>
      <w:r w:rsidRPr="00043606">
        <w:rPr>
          <w:rFonts w:ascii="Times New Roman" w:hAnsi="Times New Roman" w:cs="Times New Roman"/>
          <w:sz w:val="22"/>
          <w:szCs w:val="22"/>
        </w:rPr>
        <w:t xml:space="preserve">waste, </w:t>
      </w:r>
      <w:r w:rsidRPr="0045441F">
        <w:rPr>
          <w:rFonts w:ascii="Times New Roman" w:hAnsi="Times New Roman" w:cs="Times New Roman"/>
          <w:sz w:val="22"/>
          <w:szCs w:val="22"/>
        </w:rPr>
        <w:t>including municipal, agricultural, and industrial residues—while simultaneously enabling the generation of renewable energy and value-added products.</w:t>
      </w:r>
      <w:r w:rsidRPr="00043606">
        <w:rPr>
          <w:rFonts w:ascii="Times New Roman" w:hAnsi="Times New Roman" w:cs="Times New Roman"/>
          <w:sz w:val="22"/>
          <w:szCs w:val="22"/>
        </w:rPr>
        <w:t xml:space="preserve"> </w:t>
      </w:r>
      <w:r w:rsidRPr="0045441F">
        <w:rPr>
          <w:rFonts w:ascii="Times New Roman" w:hAnsi="Times New Roman" w:cs="Times New Roman"/>
          <w:sz w:val="22"/>
          <w:szCs w:val="22"/>
        </w:rPr>
        <w:t>Globally, solid waste management remains a major challenge, particularly in regions lacking robust infrastructure and public awareness. In this context, W2E solutions emerge as promising strategies for resource recovery, especially when integrated within the broader framework of biorefineries.</w:t>
      </w:r>
      <w:r w:rsidRPr="00043606">
        <w:rPr>
          <w:rFonts w:ascii="Times New Roman" w:hAnsi="Times New Roman" w:cs="Times New Roman"/>
          <w:sz w:val="22"/>
          <w:szCs w:val="22"/>
        </w:rPr>
        <w:t xml:space="preserve"> </w:t>
      </w:r>
      <w:r w:rsidRPr="0045441F">
        <w:rPr>
          <w:rFonts w:ascii="Times New Roman" w:hAnsi="Times New Roman" w:cs="Times New Roman"/>
          <w:sz w:val="22"/>
          <w:szCs w:val="22"/>
        </w:rPr>
        <w:t>A biorefinery is a facility that integrates various biomass conversion processes and technologies to produce biofuels, biochemicals, and other bio-based products, much like a traditional petroleum refinery. By utilizing all components of biomass feedstock—whether food waste, agricultural residues, or municipal solid waste—biorefineries enable maximized resource utilization and significantly reduce the generation of solid, liquid, and gaseous wastes.</w:t>
      </w:r>
      <w:r w:rsidRPr="00043606">
        <w:rPr>
          <w:rFonts w:ascii="Times New Roman" w:hAnsi="Times New Roman" w:cs="Times New Roman"/>
          <w:sz w:val="22"/>
          <w:szCs w:val="22"/>
        </w:rPr>
        <w:t xml:space="preserve"> </w:t>
      </w:r>
      <w:r w:rsidRPr="0045441F">
        <w:rPr>
          <w:rFonts w:ascii="Times New Roman" w:hAnsi="Times New Roman" w:cs="Times New Roman"/>
          <w:sz w:val="22"/>
          <w:szCs w:val="22"/>
        </w:rPr>
        <w:t>This integrated approach unlocks the potential to produce bioethanol, biobutanol, biodiesel, and other high-value chemicals, while simultaneously addressing industrial waste treatment.</w:t>
      </w:r>
      <w:r w:rsidRPr="00043606">
        <w:rPr>
          <w:rFonts w:ascii="Times New Roman" w:hAnsi="Times New Roman" w:cs="Times New Roman"/>
          <w:sz w:val="22"/>
          <w:szCs w:val="22"/>
        </w:rPr>
        <w:t xml:space="preserve"> </w:t>
      </w:r>
      <w:r w:rsidRPr="0045441F">
        <w:rPr>
          <w:rFonts w:ascii="Times New Roman" w:hAnsi="Times New Roman" w:cs="Times New Roman"/>
          <w:sz w:val="22"/>
          <w:szCs w:val="22"/>
        </w:rPr>
        <w:t>The success and scalability of these systems depend heavily on process integration, which ensures improved efficiency, economic viability, and environmental sustainability. As such, biorefineries represent a cornerstone for achieving a circular economy, aligning with global efforts in decarbonization, energy transition, and zero-waste initiatives.</w:t>
      </w:r>
    </w:p>
    <w:p w14:paraId="130416A1" w14:textId="77777777" w:rsidR="00043606" w:rsidRPr="00043606" w:rsidRDefault="00043606" w:rsidP="00043606">
      <w:pPr>
        <w:spacing w:after="0" w:line="240" w:lineRule="auto"/>
        <w:jc w:val="both"/>
        <w:rPr>
          <w:rFonts w:ascii="Times New Roman" w:eastAsia="Times New Roman" w:hAnsi="Times New Roman" w:cs="Times New Roman"/>
          <w:color w:val="222222"/>
          <w:sz w:val="22"/>
          <w:szCs w:val="22"/>
        </w:rPr>
      </w:pPr>
      <w:r w:rsidRPr="00043606">
        <w:rPr>
          <w:rFonts w:ascii="Times New Roman" w:eastAsia="Times New Roman" w:hAnsi="Times New Roman" w:cs="Times New Roman"/>
          <w:b/>
          <w:color w:val="222222"/>
          <w:sz w:val="22"/>
          <w:szCs w:val="22"/>
        </w:rPr>
        <w:t>Keywords</w:t>
      </w:r>
      <w:r w:rsidRPr="00043606">
        <w:rPr>
          <w:rFonts w:ascii="Times New Roman" w:eastAsia="Times New Roman" w:hAnsi="Times New Roman" w:cs="Times New Roman"/>
          <w:color w:val="222222"/>
          <w:sz w:val="22"/>
          <w:szCs w:val="22"/>
        </w:rPr>
        <w:t>: Provide 3-5 five keywords (separated by commas, Times New Roman 11 font)</w:t>
      </w:r>
    </w:p>
    <w:p w14:paraId="1EE4C9B9" w14:textId="77777777" w:rsidR="00043606" w:rsidRPr="00043606" w:rsidRDefault="00043606" w:rsidP="00043606">
      <w:pPr>
        <w:spacing w:after="0" w:line="240" w:lineRule="auto"/>
        <w:jc w:val="both"/>
        <w:rPr>
          <w:rFonts w:ascii="Times New Roman" w:eastAsia="Times New Roman" w:hAnsi="Times New Roman" w:cs="Times New Roman"/>
          <w:color w:val="222222"/>
          <w:sz w:val="22"/>
          <w:szCs w:val="22"/>
        </w:rPr>
      </w:pPr>
    </w:p>
    <w:p w14:paraId="1E206D42" w14:textId="77777777" w:rsidR="00043606" w:rsidRPr="00043606" w:rsidRDefault="00043606">
      <w:pPr>
        <w:rPr>
          <w:rFonts w:ascii="Times New Roman" w:hAnsi="Times New Roman" w:cs="Times New Roman"/>
          <w:sz w:val="22"/>
          <w:szCs w:val="22"/>
        </w:rPr>
      </w:pPr>
    </w:p>
    <w:sectPr w:rsidR="00043606" w:rsidRPr="0004360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Mangal">
    <w:panose1 w:val="00000400000000000000"/>
    <w:charset w:val="00"/>
    <w:family w:val="roman"/>
    <w:pitch w:val="variable"/>
    <w:sig w:usb0="00008003" w:usb1="00000000" w:usb2="00000000" w:usb3="00000000" w:csb0="00000001"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0B1307E"/>
    <w:multiLevelType w:val="multilevel"/>
    <w:tmpl w:val="38F2F5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B2831BB"/>
    <w:multiLevelType w:val="multilevel"/>
    <w:tmpl w:val="288286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792939466">
    <w:abstractNumId w:val="0"/>
  </w:num>
  <w:num w:numId="2" w16cid:durableId="101746134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3606"/>
    <w:rsid w:val="00043606"/>
    <w:rsid w:val="0004530B"/>
    <w:rsid w:val="002D6804"/>
    <w:rsid w:val="00496408"/>
    <w:rsid w:val="00CD4139"/>
    <w:rsid w:val="00FE2616"/>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32D713"/>
  <w15:chartTrackingRefBased/>
  <w15:docId w15:val="{0D20DDC8-1557-4C5A-9E88-DF3EFF152F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4360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4360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4360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4360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4360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4360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4360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4360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4360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4360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4360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4360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4360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4360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4360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4360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4360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43606"/>
    <w:rPr>
      <w:rFonts w:eastAsiaTheme="majorEastAsia" w:cstheme="majorBidi"/>
      <w:color w:val="272727" w:themeColor="text1" w:themeTint="D8"/>
    </w:rPr>
  </w:style>
  <w:style w:type="paragraph" w:styleId="Title">
    <w:name w:val="Title"/>
    <w:basedOn w:val="Normal"/>
    <w:next w:val="Normal"/>
    <w:link w:val="TitleChar"/>
    <w:uiPriority w:val="10"/>
    <w:qFormat/>
    <w:rsid w:val="0004360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4360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4360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4360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43606"/>
    <w:pPr>
      <w:spacing w:before="160"/>
      <w:jc w:val="center"/>
    </w:pPr>
    <w:rPr>
      <w:i/>
      <w:iCs/>
      <w:color w:val="404040" w:themeColor="text1" w:themeTint="BF"/>
    </w:rPr>
  </w:style>
  <w:style w:type="character" w:customStyle="1" w:styleId="QuoteChar">
    <w:name w:val="Quote Char"/>
    <w:basedOn w:val="DefaultParagraphFont"/>
    <w:link w:val="Quote"/>
    <w:uiPriority w:val="29"/>
    <w:rsid w:val="00043606"/>
    <w:rPr>
      <w:i/>
      <w:iCs/>
      <w:color w:val="404040" w:themeColor="text1" w:themeTint="BF"/>
    </w:rPr>
  </w:style>
  <w:style w:type="paragraph" w:styleId="ListParagraph">
    <w:name w:val="List Paragraph"/>
    <w:basedOn w:val="Normal"/>
    <w:uiPriority w:val="34"/>
    <w:qFormat/>
    <w:rsid w:val="00043606"/>
    <w:pPr>
      <w:ind w:left="720"/>
      <w:contextualSpacing/>
    </w:pPr>
  </w:style>
  <w:style w:type="character" w:styleId="IntenseEmphasis">
    <w:name w:val="Intense Emphasis"/>
    <w:basedOn w:val="DefaultParagraphFont"/>
    <w:uiPriority w:val="21"/>
    <w:qFormat/>
    <w:rsid w:val="00043606"/>
    <w:rPr>
      <w:i/>
      <w:iCs/>
      <w:color w:val="0F4761" w:themeColor="accent1" w:themeShade="BF"/>
    </w:rPr>
  </w:style>
  <w:style w:type="paragraph" w:styleId="IntenseQuote">
    <w:name w:val="Intense Quote"/>
    <w:basedOn w:val="Normal"/>
    <w:next w:val="Normal"/>
    <w:link w:val="IntenseQuoteChar"/>
    <w:uiPriority w:val="30"/>
    <w:qFormat/>
    <w:rsid w:val="0004360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43606"/>
    <w:rPr>
      <w:i/>
      <w:iCs/>
      <w:color w:val="0F4761" w:themeColor="accent1" w:themeShade="BF"/>
    </w:rPr>
  </w:style>
  <w:style w:type="character" w:styleId="IntenseReference">
    <w:name w:val="Intense Reference"/>
    <w:basedOn w:val="DefaultParagraphFont"/>
    <w:uiPriority w:val="32"/>
    <w:qFormat/>
    <w:rsid w:val="00043606"/>
    <w:rPr>
      <w:b/>
      <w:bCs/>
      <w:smallCaps/>
      <w:color w:val="0F4761" w:themeColor="accent1" w:themeShade="BF"/>
      <w:spacing w:val="5"/>
    </w:rPr>
  </w:style>
  <w:style w:type="table" w:styleId="TableGrid">
    <w:name w:val="Table Grid"/>
    <w:basedOn w:val="TableNormal"/>
    <w:uiPriority w:val="39"/>
    <w:rsid w:val="00043606"/>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043606"/>
    <w:pPr>
      <w:spacing w:before="100" w:beforeAutospacing="1" w:after="100" w:afterAutospacing="1" w:line="240" w:lineRule="auto"/>
    </w:pPr>
    <w:rPr>
      <w:rFonts w:ascii="Times New Roman" w:eastAsia="Times New Roman" w:hAnsi="Times New Roman" w:cs="Times New Roman"/>
      <w:kern w:val="0"/>
      <w14:ligatures w14:val="none"/>
    </w:rPr>
  </w:style>
  <w:style w:type="paragraph" w:styleId="NoSpacing">
    <w:name w:val="No Spacing"/>
    <w:uiPriority w:val="1"/>
    <w:qFormat/>
    <w:rsid w:val="00043606"/>
    <w:pPr>
      <w:spacing w:after="0" w:line="240" w:lineRule="auto"/>
    </w:pPr>
    <w:rPr>
      <w:rFonts w:cs="Mangal"/>
      <w:kern w:val="0"/>
      <w:sz w:val="22"/>
      <w:szCs w:val="20"/>
      <w:lang w:bidi="hi-IN"/>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308</Words>
  <Characters>1762</Characters>
  <Application>Microsoft Office Word</Application>
  <DocSecurity>0</DocSecurity>
  <Lines>14</Lines>
  <Paragraphs>4</Paragraphs>
  <ScaleCrop>false</ScaleCrop>
  <Company/>
  <LinksUpToDate>false</LinksUpToDate>
  <CharactersWithSpaces>2066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 Izharul Haq [MU - Jaipur]</dc:creator>
  <cp:keywords/>
  <dc:description/>
  <cp:lastModifiedBy>Mahesh Jangid [MU - Jaipur]</cp:lastModifiedBy>
  <cp:revision>2</cp:revision>
  <dcterms:created xsi:type="dcterms:W3CDTF">2025-07-28T08:32:00Z</dcterms:created>
  <dcterms:modified xsi:type="dcterms:W3CDTF">2025-07-28T08:32:00Z</dcterms:modified>
</cp:coreProperties>
</file>